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149</w:t>
      </w:r>
    </w:p>
    <w:p>
      <w:r>
        <w:t>Bundesgericht (BGE), 1985-04-09, DE</w:t>
      </w:r>
    </w:p>
    <w:p>
      <w:r>
        <w:rPr>
          <w:b/>
        </w:rPr>
        <w:t xml:space="preserve">Quelle: </w:t>
      </w:r>
      <w:r>
        <w:t>https://mcp.opencaselaw.ch/entscheid/bge_111 V 149</w:t>
      </w:r>
    </w:p>
    <w:p>
      <w:r>
        <w:t>FR: ATF 111 V 149</w:t>
      </w:r>
    </w:p>
    <w:p>
      <w:r>
        <w:t>IT: DTF 111 V 149</w:t>
      </w:r>
    </w:p>
    <w:p>
      <w:pPr>
        <w:pStyle w:val="Heading2"/>
      </w:pPr>
      <w:r>
        <w:t>Regeste</w:t>
      </w:r>
    </w:p>
    <w:p>
      <w:r>
        <w:t>Regeste Art. 106 Abs. 1, Art. 107 Abs. 3 OG, Art. 35 VwVG: Rechtsmittelbelehrung bei Zwischenentscheiden. Enthält eine Formular-Rechtsmittelbelehrung sowohl die 30tägige als auch die 10tägige Rechtsmittelfrist, muss ein Zwischenentscheid erkennbar als solcher bezeichnet werden.</w:t>
      </w:r>
    </w:p>
    <w:p>
      <w:pPr>
        <w:pStyle w:val="Heading2"/>
      </w:pPr>
      <w:r>
        <w:t>Erwägungen</w:t>
      </w:r>
    </w:p>
    <w:p>
      <w:r>
        <w:rPr>
          <w:b/>
        </w:rPr>
        <w:t>E. 4</w:t>
      </w:r>
    </w:p>
    <w:p>
      <w:r>
        <w:t>a) Gemäss Art. 54 Abs. 2 AlVG bzw. Art. 103 Abs. 6 AVIG in Verbindung mit Art. 1 Abs. 3 und Art. 35 Abs. 1 VwVG sind die Entscheide der letzten kantonalen Instanz mit einer Rechtsmittelbelehrung zu versehen. Nach Art. 35 Abs. 2 VwVG muss die Rechtsmittelbelehrung das zulässige ordentliche Rechtsmittel, die Rechtsmittelinstanz und die Rechtsmittelfrist nennen. b) Die dem vorinstanzlichen Entscheid beigelegte Rechtsmittelbelehrung enthält hinsichtlich der einzuhaltenden Fristen folgenden Wortlaut: "Gegen diesen Entscheid kann innert 30 Tagen (bzw. innert 10 Tagen bei Zwischenentscheiden) seit Eröffnung beim Eidgenössischen Versicherungsgericht Verwaltungsgerichtsbeschwerde eingereicht werden" (vgl. ARV 1970 S. 62). Es fragt sich, ob diese Rechtsmittelbelehrung im vorliegenden Fall genügt. BGE 111 V 149 S. 150 Die Rechtsmittelbelehrung muss klar und ohne weiteres in ihrer Bedeutung erkennbar sein. Bezüglich der Rechtsmittelfrist gilt insbesondere, dass sie derart ausgestaltet sein muss, dass auch ein Rechtsunkundiger unzweideutig erkennen kann, innert welcher Frist ihm das Rechtsmittel zur Verfügung steht. Sofern verschiedene Rechtsmittelfristen genannt sind, entspricht die Rechtsmittelbelehrung nur dann diesen Anforderungen, wenn der Zwischenentscheid erkennbar als solcher bezeichnet wird. Dies trifft im vorliegenden Fall nicht zu. Die dem kantonalen Sistierungsbeschluss beigelegte Rechtsmittelbelehrung erweist sich mithin als mangelhaft. c) Aus mangelhafter Eröffnung, insbesondere aus fehlender, unvollständiger oder unrichtiger Rechtsmittelbelehrung darf den Parteien kein Nachteil erwachsen ( Art. 107 Abs. 3 OG ).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Einzelfalles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98 V 278 f.). So lässt sich mit den Grundsätzen des Vertrauensschutzes und der Rechtssicherheit nicht vereinbaren, dass ein Verwaltungsakt wegen mangelhafter Rechtsmittelbelehrung jederzeit an den Richter weitergezogen werden kann; vielmehr muss ein solcher Verwaltungsakt innerhalb einer vernünftigen Frist in Frage gestellt werden ( BGE 106 V 97 Erw. 2a, BGE 104 V 166 Erw. 3, vgl. auch BGE 105 V 111 Erw. 3 in fine). Im vorliegenden Fall ist davon auszugehen, dass der Beschwerdeführer durch den Eröffnungsmangel irregeführt worden ist. Da er innerhalb der 30tägigen Frist Verwaltungsgerichtsbeschwerde erhoben hat, ist die Beschwerdeerhebung als rechtzeitig zu erachten.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